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kern w:val="0"/>
          <w:sz w:val="28"/>
          <w:szCs w:val="28"/>
        </w:rPr>
      </w:pPr>
      <w:r>
        <w:rPr>
          <w:rFonts w:hint="eastAsia" w:ascii="宋体" w:hAnsi="宋体" w:cs="宋体"/>
          <w:kern w:val="0"/>
          <w:sz w:val="28"/>
          <w:szCs w:val="28"/>
        </w:rPr>
        <w:t>附件1：</w:t>
      </w:r>
    </w:p>
    <w:p>
      <w:pPr>
        <w:jc w:val="center"/>
        <w:rPr>
          <w:rFonts w:hint="eastAsia" w:ascii="宋体" w:hAnsi="宋体" w:cs="宋体"/>
          <w:b/>
          <w:kern w:val="0"/>
          <w:sz w:val="28"/>
          <w:szCs w:val="28"/>
        </w:rPr>
      </w:pPr>
      <w:r>
        <w:rPr>
          <w:rFonts w:hint="eastAsia"/>
          <w:b/>
          <w:color w:val="000000"/>
          <w:sz w:val="28"/>
          <w:szCs w:val="28"/>
        </w:rPr>
        <w:t>科研立项项目开题报告会</w:t>
      </w:r>
      <w:r>
        <w:rPr>
          <w:rFonts w:hint="eastAsia" w:ascii="宋体" w:hAnsi="宋体" w:cs="宋体"/>
          <w:b/>
          <w:kern w:val="0"/>
          <w:sz w:val="28"/>
          <w:szCs w:val="28"/>
        </w:rPr>
        <w:t>具体安排表</w:t>
      </w:r>
    </w:p>
    <w:p>
      <w:pPr>
        <w:jc w:val="center"/>
        <w:rPr>
          <w:rFonts w:hint="eastAsia" w:ascii="宋体" w:hAnsi="宋体" w:cs="宋体"/>
          <w:b/>
          <w:kern w:val="0"/>
          <w:sz w:val="28"/>
          <w:szCs w:val="28"/>
        </w:rPr>
      </w:pPr>
    </w:p>
    <w:tbl>
      <w:tblPr>
        <w:tblStyle w:val="3"/>
        <w:tblW w:w="1486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60"/>
        <w:gridCol w:w="6180"/>
        <w:gridCol w:w="1125"/>
        <w:gridCol w:w="151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trPr>
        <w:tc>
          <w:tcPr>
            <w:tcW w:w="2130" w:type="dxa"/>
            <w:vAlign w:val="center"/>
          </w:tcPr>
          <w:p>
            <w:pPr>
              <w:jc w:val="center"/>
              <w:rPr>
                <w:rFonts w:hint="eastAsia"/>
                <w:b/>
              </w:rPr>
            </w:pPr>
            <w:r>
              <w:rPr>
                <w:rFonts w:hint="eastAsia"/>
                <w:b/>
              </w:rPr>
              <w:t>时间</w:t>
            </w:r>
          </w:p>
        </w:tc>
        <w:tc>
          <w:tcPr>
            <w:tcW w:w="2160" w:type="dxa"/>
            <w:vAlign w:val="center"/>
          </w:tcPr>
          <w:p>
            <w:pPr>
              <w:jc w:val="center"/>
              <w:rPr>
                <w:rFonts w:hint="eastAsia"/>
                <w:b/>
              </w:rPr>
            </w:pPr>
            <w:r>
              <w:rPr>
                <w:rFonts w:hint="eastAsia"/>
                <w:b/>
              </w:rPr>
              <w:t>课题来源</w:t>
            </w:r>
          </w:p>
        </w:tc>
        <w:tc>
          <w:tcPr>
            <w:tcW w:w="6180" w:type="dxa"/>
            <w:vAlign w:val="center"/>
          </w:tcPr>
          <w:p>
            <w:pPr>
              <w:jc w:val="center"/>
              <w:rPr>
                <w:rFonts w:hint="eastAsia"/>
                <w:b/>
              </w:rPr>
            </w:pPr>
            <w:r>
              <w:rPr>
                <w:rFonts w:hint="eastAsia"/>
                <w:b/>
              </w:rPr>
              <w:t>课题题目</w:t>
            </w:r>
          </w:p>
        </w:tc>
        <w:tc>
          <w:tcPr>
            <w:tcW w:w="1125" w:type="dxa"/>
            <w:vAlign w:val="center"/>
          </w:tcPr>
          <w:p>
            <w:pPr>
              <w:jc w:val="center"/>
              <w:rPr>
                <w:rFonts w:hint="eastAsia"/>
                <w:b/>
              </w:rPr>
            </w:pPr>
            <w:r>
              <w:rPr>
                <w:rFonts w:hint="eastAsia"/>
                <w:b/>
              </w:rPr>
              <w:t>主持人</w:t>
            </w:r>
          </w:p>
        </w:tc>
        <w:tc>
          <w:tcPr>
            <w:tcW w:w="1515" w:type="dxa"/>
            <w:vAlign w:val="center"/>
          </w:tcPr>
          <w:p>
            <w:pPr>
              <w:jc w:val="center"/>
              <w:rPr>
                <w:rFonts w:hint="eastAsia"/>
                <w:b/>
              </w:rPr>
            </w:pPr>
            <w:r>
              <w:rPr>
                <w:rFonts w:hint="eastAsia"/>
                <w:b/>
              </w:rPr>
              <w:t>地点</w:t>
            </w:r>
          </w:p>
        </w:tc>
        <w:tc>
          <w:tcPr>
            <w:tcW w:w="1755" w:type="dxa"/>
            <w:vAlign w:val="center"/>
          </w:tcPr>
          <w:p>
            <w:pPr>
              <w:jc w:val="center"/>
              <w:rPr>
                <w:rFonts w:hint="eastAsia"/>
                <w:b/>
              </w:rPr>
            </w:pPr>
            <w:r>
              <w:rPr>
                <w:rFonts w:hint="eastAsia"/>
                <w:b/>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30" w:type="dxa"/>
            <w:vMerge w:val="restart"/>
            <w:vAlign w:val="center"/>
          </w:tcPr>
          <w:p>
            <w:pPr>
              <w:jc w:val="center"/>
              <w:rPr>
                <w:rFonts w:hint="eastAsia"/>
              </w:rPr>
            </w:pPr>
            <w:r>
              <w:rPr>
                <w:rFonts w:hint="eastAsia"/>
                <w:lang w:val="en-US" w:eastAsia="zh-CN"/>
              </w:rPr>
              <w:t>8</w:t>
            </w:r>
            <w:r>
              <w:rPr>
                <w:rFonts w:hint="eastAsia"/>
              </w:rPr>
              <w:t>月</w:t>
            </w:r>
            <w:r>
              <w:rPr>
                <w:rFonts w:hint="eastAsia"/>
                <w:lang w:val="en-US" w:eastAsia="zh-CN"/>
              </w:rPr>
              <w:t>30</w:t>
            </w:r>
            <w:r>
              <w:rPr>
                <w:rFonts w:hint="eastAsia"/>
              </w:rPr>
              <w:t>日</w:t>
            </w:r>
          </w:p>
          <w:p>
            <w:pPr>
              <w:jc w:val="center"/>
              <w:rPr>
                <w:rFonts w:hint="eastAsia"/>
              </w:rPr>
            </w:pPr>
            <w:r>
              <w:rPr>
                <w:rFonts w:hint="eastAsia"/>
              </w:rPr>
              <w:t>（周</w:t>
            </w:r>
            <w:r>
              <w:rPr>
                <w:rFonts w:hint="eastAsia"/>
                <w:lang w:val="en-US" w:eastAsia="zh-CN"/>
              </w:rPr>
              <w:t>三</w:t>
            </w:r>
            <w:r>
              <w:rPr>
                <w:rFonts w:hint="eastAsia"/>
              </w:rPr>
              <w:t>）</w:t>
            </w:r>
          </w:p>
          <w:p>
            <w:pPr>
              <w:jc w:val="center"/>
              <w:rPr>
                <w:rFonts w:hint="eastAsia"/>
              </w:rPr>
            </w:pPr>
            <w:r>
              <w:rPr>
                <w:rFonts w:hint="eastAsia"/>
              </w:rPr>
              <w:t>13：30-15：30</w:t>
            </w:r>
          </w:p>
        </w:tc>
        <w:tc>
          <w:tcPr>
            <w:tcW w:w="2160" w:type="dxa"/>
            <w:vMerge w:val="restart"/>
            <w:vAlign w:val="center"/>
          </w:tcPr>
          <w:p>
            <w:pPr>
              <w:widowControl/>
              <w:jc w:val="center"/>
              <w:textAlignment w:val="center"/>
              <w:rPr>
                <w:rFonts w:hint="eastAsia" w:ascii="宋体" w:hAnsi="宋体" w:cs="宋体"/>
                <w:color w:val="000000"/>
                <w:kern w:val="0"/>
                <w:sz w:val="24"/>
                <w:lang w:bidi="ar"/>
              </w:rPr>
            </w:pPr>
          </w:p>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辽宁省教育科学“十三五”规划201</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年度</w:t>
            </w:r>
            <w:r>
              <w:rPr>
                <w:rFonts w:hint="eastAsia" w:ascii="宋体" w:hAnsi="宋体" w:cs="宋体"/>
                <w:color w:val="000000"/>
                <w:kern w:val="0"/>
                <w:sz w:val="24"/>
                <w:lang w:val="en-US" w:eastAsia="zh-CN" w:bidi="ar"/>
              </w:rPr>
              <w:t>立项</w:t>
            </w:r>
            <w:r>
              <w:rPr>
                <w:rFonts w:hint="eastAsia" w:ascii="宋体" w:hAnsi="宋体" w:cs="宋体"/>
                <w:color w:val="000000"/>
                <w:kern w:val="0"/>
                <w:sz w:val="24"/>
                <w:lang w:bidi="ar"/>
              </w:rPr>
              <w:t>课题</w:t>
            </w:r>
          </w:p>
          <w:p>
            <w:pPr>
              <w:jc w:val="center"/>
              <w:rPr>
                <w:rFonts w:hint="eastAsia" w:eastAsia="宋体"/>
                <w:lang w:eastAsia="zh-CN"/>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高职青年教师职业认同与对策研究</w:t>
            </w:r>
          </w:p>
        </w:tc>
        <w:tc>
          <w:tcPr>
            <w:tcW w:w="1125" w:type="dxa"/>
            <w:vAlign w:val="center"/>
          </w:tcPr>
          <w:p>
            <w:pPr>
              <w:ind w:firstLine="120" w:firstLineChars="50"/>
              <w:rPr>
                <w:rFonts w:hint="eastAsia" w:eastAsia="宋体"/>
                <w:lang w:eastAsia="zh-CN"/>
              </w:rPr>
            </w:pPr>
            <w:r>
              <w:rPr>
                <w:rFonts w:hint="eastAsia" w:ascii="宋体" w:hAnsi="宋体" w:cs="宋体"/>
                <w:sz w:val="24"/>
              </w:rPr>
              <w:t>董  倩</w:t>
            </w:r>
          </w:p>
        </w:tc>
        <w:tc>
          <w:tcPr>
            <w:tcW w:w="1515" w:type="dxa"/>
            <w:vMerge w:val="restart"/>
            <w:vAlign w:val="center"/>
          </w:tcPr>
          <w:p>
            <w:pPr>
              <w:jc w:val="center"/>
              <w:rPr>
                <w:rFonts w:hint="eastAsia" w:eastAsia="宋体"/>
                <w:lang w:eastAsia="zh-CN"/>
              </w:rPr>
            </w:pPr>
            <w:r>
              <w:rPr>
                <w:rFonts w:hint="eastAsia"/>
                <w:lang w:eastAsia="zh-CN"/>
              </w:rPr>
              <w:t>行政楼三楼会议室</w:t>
            </w:r>
          </w:p>
        </w:tc>
        <w:tc>
          <w:tcPr>
            <w:tcW w:w="1755" w:type="dxa"/>
            <w:vMerge w:val="restart"/>
            <w:vAlign w:val="center"/>
          </w:tcPr>
          <w:p>
            <w:pPr>
              <w:jc w:val="center"/>
              <w:rPr>
                <w:rFonts w:hint="eastAsia"/>
                <w:lang w:eastAsia="zh-CN"/>
              </w:rPr>
            </w:pPr>
            <w:r>
              <w:rPr>
                <w:rFonts w:hint="eastAsia"/>
                <w:lang w:eastAsia="zh-CN"/>
              </w:rPr>
              <w:t>课题组全体成员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2130" w:type="dxa"/>
            <w:vMerge w:val="continue"/>
            <w:vAlign w:val="center"/>
          </w:tcPr>
          <w:p>
            <w:pPr>
              <w:jc w:val="center"/>
              <w:rPr>
                <w:rFonts w:hint="eastAsia"/>
              </w:rPr>
            </w:pPr>
          </w:p>
        </w:tc>
        <w:tc>
          <w:tcPr>
            <w:tcW w:w="2160" w:type="dxa"/>
            <w:vMerge w:val="continue"/>
            <w:vAlign w:val="center"/>
          </w:tcPr>
          <w:p>
            <w:pPr>
              <w:jc w:val="center"/>
              <w:rPr>
                <w:rFonts w:hint="eastAsia"/>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以创新创业为核心的高职专家工作站建设研究</w:t>
            </w:r>
          </w:p>
        </w:tc>
        <w:tc>
          <w:tcPr>
            <w:tcW w:w="1125" w:type="dxa"/>
            <w:vAlign w:val="center"/>
          </w:tcPr>
          <w:p>
            <w:pPr>
              <w:ind w:firstLine="120" w:firstLineChars="50"/>
              <w:rPr>
                <w:rFonts w:hint="eastAsia" w:eastAsia="宋体"/>
                <w:lang w:eastAsia="zh-CN"/>
              </w:rPr>
            </w:pPr>
            <w:r>
              <w:rPr>
                <w:rFonts w:hint="eastAsia" w:ascii="宋体" w:hAnsi="宋体" w:cs="宋体"/>
                <w:sz w:val="24"/>
              </w:rPr>
              <w:t>周  雷</w:t>
            </w:r>
          </w:p>
        </w:tc>
        <w:tc>
          <w:tcPr>
            <w:tcW w:w="1515" w:type="dxa"/>
            <w:vMerge w:val="continue"/>
            <w:vAlign w:val="center"/>
          </w:tcPr>
          <w:p>
            <w:pPr>
              <w:jc w:val="center"/>
              <w:rPr>
                <w:rFonts w:hint="eastAsia"/>
              </w:rPr>
            </w:pPr>
          </w:p>
        </w:tc>
        <w:tc>
          <w:tcPr>
            <w:tcW w:w="1755"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30" w:type="dxa"/>
            <w:vMerge w:val="continue"/>
            <w:vAlign w:val="center"/>
          </w:tcPr>
          <w:p>
            <w:pPr>
              <w:jc w:val="center"/>
              <w:rPr>
                <w:rFonts w:hint="eastAsia"/>
              </w:rPr>
            </w:pPr>
          </w:p>
        </w:tc>
        <w:tc>
          <w:tcPr>
            <w:tcW w:w="2160" w:type="dxa"/>
            <w:vMerge w:val="continue"/>
            <w:vAlign w:val="center"/>
          </w:tcPr>
          <w:p>
            <w:pPr>
              <w:jc w:val="center"/>
              <w:rPr>
                <w:rFonts w:hint="eastAsia"/>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模拟训练式高职创业课程体系建设研究</w:t>
            </w:r>
          </w:p>
        </w:tc>
        <w:tc>
          <w:tcPr>
            <w:tcW w:w="1125" w:type="dxa"/>
            <w:vAlign w:val="center"/>
          </w:tcPr>
          <w:p>
            <w:pPr>
              <w:rPr>
                <w:rFonts w:hint="eastAsia" w:eastAsia="宋体"/>
                <w:lang w:eastAsia="zh-CN"/>
              </w:rPr>
            </w:pPr>
            <w:r>
              <w:rPr>
                <w:rFonts w:hint="eastAsia" w:eastAsia="宋体"/>
                <w:lang w:val="en-US" w:eastAsia="zh-CN"/>
              </w:rPr>
              <w:t xml:space="preserve"> </w:t>
            </w:r>
            <w:r>
              <w:rPr>
                <w:rFonts w:hint="eastAsia" w:ascii="宋体" w:hAnsi="宋体" w:cs="宋体"/>
                <w:sz w:val="24"/>
              </w:rPr>
              <w:t>邢学鹏</w:t>
            </w:r>
          </w:p>
        </w:tc>
        <w:tc>
          <w:tcPr>
            <w:tcW w:w="1515" w:type="dxa"/>
            <w:vMerge w:val="continue"/>
            <w:vAlign w:val="center"/>
          </w:tcPr>
          <w:p>
            <w:pPr>
              <w:jc w:val="center"/>
              <w:rPr>
                <w:rFonts w:hint="eastAsia"/>
              </w:rPr>
            </w:pPr>
          </w:p>
        </w:tc>
        <w:tc>
          <w:tcPr>
            <w:tcW w:w="1755"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130" w:type="dxa"/>
            <w:vMerge w:val="continue"/>
            <w:vAlign w:val="center"/>
          </w:tcPr>
          <w:p>
            <w:pPr>
              <w:jc w:val="center"/>
              <w:rPr>
                <w:rFonts w:hint="eastAsia"/>
              </w:rPr>
            </w:pPr>
          </w:p>
        </w:tc>
        <w:tc>
          <w:tcPr>
            <w:tcW w:w="2160" w:type="dxa"/>
            <w:vMerge w:val="continue"/>
            <w:vAlign w:val="center"/>
          </w:tcPr>
          <w:p>
            <w:pPr>
              <w:jc w:val="center"/>
              <w:rPr>
                <w:rFonts w:hint="eastAsia"/>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辽宁省高职校企合作长效机制创新路径研究</w:t>
            </w:r>
          </w:p>
        </w:tc>
        <w:tc>
          <w:tcPr>
            <w:tcW w:w="1125" w:type="dxa"/>
            <w:vAlign w:val="center"/>
          </w:tcPr>
          <w:p>
            <w:pPr>
              <w:ind w:firstLine="120" w:firstLineChars="50"/>
              <w:rPr>
                <w:rFonts w:hint="eastAsia" w:eastAsia="宋体"/>
                <w:lang w:eastAsia="zh-CN"/>
              </w:rPr>
            </w:pPr>
            <w:r>
              <w:rPr>
                <w:rFonts w:hint="eastAsia" w:ascii="宋体" w:hAnsi="宋体" w:cs="宋体"/>
                <w:color w:val="000000"/>
                <w:kern w:val="0"/>
                <w:sz w:val="24"/>
                <w:lang w:bidi="ar"/>
              </w:rPr>
              <w:t>曹  爽</w:t>
            </w:r>
          </w:p>
        </w:tc>
        <w:tc>
          <w:tcPr>
            <w:tcW w:w="1515" w:type="dxa"/>
            <w:vMerge w:val="continue"/>
            <w:vAlign w:val="center"/>
          </w:tcPr>
          <w:p>
            <w:pPr>
              <w:jc w:val="center"/>
              <w:rPr>
                <w:rFonts w:hint="eastAsia"/>
              </w:rPr>
            </w:pPr>
          </w:p>
        </w:tc>
        <w:tc>
          <w:tcPr>
            <w:tcW w:w="1755"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30" w:type="dxa"/>
            <w:vMerge w:val="continue"/>
            <w:vAlign w:val="center"/>
          </w:tcPr>
          <w:p>
            <w:pPr>
              <w:jc w:val="center"/>
              <w:rPr>
                <w:rFonts w:hint="eastAsia"/>
              </w:rPr>
            </w:pPr>
          </w:p>
        </w:tc>
        <w:tc>
          <w:tcPr>
            <w:tcW w:w="2160" w:type="dxa"/>
            <w:vMerge w:val="continue"/>
            <w:vAlign w:val="center"/>
          </w:tcPr>
          <w:p>
            <w:pPr>
              <w:jc w:val="center"/>
              <w:rPr>
                <w:rFonts w:hint="eastAsia"/>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混合所有制办学视角下的高职教学运行机制研究</w:t>
            </w:r>
          </w:p>
        </w:tc>
        <w:tc>
          <w:tcPr>
            <w:tcW w:w="1125" w:type="dxa"/>
            <w:vAlign w:val="center"/>
          </w:tcPr>
          <w:p>
            <w:pPr>
              <w:ind w:firstLine="120" w:firstLineChars="50"/>
              <w:rPr>
                <w:rFonts w:hint="eastAsia" w:eastAsia="宋体"/>
                <w:lang w:eastAsia="zh-CN"/>
              </w:rPr>
            </w:pPr>
            <w:r>
              <w:rPr>
                <w:rFonts w:hint="eastAsia" w:ascii="宋体" w:hAnsi="宋体" w:cs="宋体"/>
                <w:color w:val="000000"/>
                <w:kern w:val="0"/>
                <w:sz w:val="24"/>
                <w:lang w:bidi="ar"/>
              </w:rPr>
              <w:t>陈  斌</w:t>
            </w:r>
          </w:p>
        </w:tc>
        <w:tc>
          <w:tcPr>
            <w:tcW w:w="1515" w:type="dxa"/>
            <w:vMerge w:val="continue"/>
            <w:vAlign w:val="center"/>
          </w:tcPr>
          <w:p>
            <w:pPr>
              <w:jc w:val="center"/>
              <w:rPr>
                <w:rFonts w:hint="eastAsia"/>
              </w:rPr>
            </w:pPr>
          </w:p>
        </w:tc>
        <w:tc>
          <w:tcPr>
            <w:tcW w:w="1755"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30" w:type="dxa"/>
            <w:vMerge w:val="restart"/>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开学后2—3周</w:t>
            </w:r>
          </w:p>
        </w:tc>
        <w:tc>
          <w:tcPr>
            <w:tcW w:w="2160" w:type="dxa"/>
            <w:vMerge w:val="restart"/>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辽宁省职业技术教育学2017-2018年度科研规划立项课题</w:t>
            </w:r>
          </w:p>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基于服务区域经济的高职校企合作长效机制创新路径研究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曹  爽</w:t>
            </w:r>
          </w:p>
        </w:tc>
        <w:tc>
          <w:tcPr>
            <w:tcW w:w="1515" w:type="dxa"/>
            <w:vMerge w:val="restart"/>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lang w:eastAsia="zh-CN"/>
              </w:rPr>
              <w:t>行政楼三楼会议室</w:t>
            </w: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积极心理学视角下高职学生积极心理品质培育路径研究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曾荣侠</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基于提升服务能力的辽宁高职院校特色专业群建设研究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丁玲</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知名高职院校成功经验与应用研究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董倩</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“政校行企”视角下的高职学生工匠精神培育途径研究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樊祥富</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基于产教融合的高职现代服务类专业创新创业人才培养途径研究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谷岩</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“现代学徒制”人才培养模式在高职西餐专业课程教学中的应用研究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韩玉慧</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工匠精神融入高职思想素质教育路径研究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李玥</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高职院校创业教育课程体系建设研究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刘心</w:t>
            </w:r>
          </w:p>
        </w:tc>
        <w:tc>
          <w:tcPr>
            <w:tcW w:w="1515" w:type="dxa"/>
            <w:vMerge w:val="restart"/>
            <w:vAlign w:val="center"/>
          </w:tcPr>
          <w:p>
            <w:pPr>
              <w:jc w:val="center"/>
              <w:rPr>
                <w:rFonts w:hint="eastAsia"/>
              </w:rPr>
            </w:pPr>
            <w:r>
              <w:rPr>
                <w:rFonts w:hint="eastAsia"/>
                <w:lang w:val="en-US" w:eastAsia="zh-CN"/>
              </w:rPr>
              <w:t>二</w:t>
            </w:r>
            <w:r>
              <w:rPr>
                <w:rFonts w:hint="eastAsia"/>
              </w:rPr>
              <w:t>实训306</w:t>
            </w:r>
          </w:p>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基于“工匠精神”的高职技能型人才培养模式研究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刘菁华</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新形势下高职院校社会服务职能实现路径研究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佟安娜</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高职服务类专业创新创业教育融入专业教育的研究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伟宁</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高职院校心理健康教育课程混合式教学模式研究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修丽娟</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基于健康中国2030视域下大学生体育价值观的培养及路径研究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杨成军</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大型职业教育公共实训基地建设研究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周雷</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辽宁服务业发展与高职学生就业关系的实证研究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周园</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130" w:type="dxa"/>
            <w:vMerge w:val="restart"/>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开学后2—3周</w:t>
            </w:r>
          </w:p>
        </w:tc>
        <w:tc>
          <w:tcPr>
            <w:tcW w:w="2160" w:type="dxa"/>
            <w:vMerge w:val="restart"/>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辽宁省教育评价协会第二届教学改革与教育质量评价研究立项课题</w:t>
            </w:r>
          </w:p>
        </w:tc>
        <w:tc>
          <w:tcPr>
            <w:tcW w:w="6180"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b w:val="0"/>
                <w:bCs w:val="0"/>
                <w:sz w:val="21"/>
                <w:szCs w:val="21"/>
                <w:lang w:val="en-US" w:eastAsia="zh-CN"/>
              </w:rPr>
              <w:t>高职院校教学质量监控与保障体系研究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b w:val="0"/>
                <w:bCs w:val="0"/>
                <w:sz w:val="21"/>
                <w:szCs w:val="21"/>
                <w:lang w:val="en-US" w:eastAsia="zh-CN"/>
              </w:rPr>
              <w:t>刘雪晖</w:t>
            </w:r>
          </w:p>
        </w:tc>
        <w:tc>
          <w:tcPr>
            <w:tcW w:w="1515" w:type="dxa"/>
            <w:vMerge w:val="restart"/>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lang w:eastAsia="zh-CN"/>
              </w:rPr>
              <w:t>行政楼三楼会议室</w:t>
            </w: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b w:val="0"/>
                <w:bCs w:val="0"/>
                <w:sz w:val="21"/>
                <w:szCs w:val="21"/>
                <w:lang w:val="en-US" w:eastAsia="zh-CN"/>
              </w:rPr>
              <w:t>供给侧改革背景下中高职衔接课程体系建设研究</w:t>
            </w:r>
          </w:p>
        </w:tc>
        <w:tc>
          <w:tcPr>
            <w:tcW w:w="1125" w:type="dxa"/>
            <w:vAlign w:val="center"/>
          </w:tcPr>
          <w:p>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b w:val="0"/>
                <w:bCs w:val="0"/>
                <w:sz w:val="21"/>
                <w:szCs w:val="21"/>
                <w:lang w:val="en-US" w:eastAsia="zh-CN"/>
              </w:rPr>
              <w:t>吕海龙</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高职内部质量保证体系诊断与改进策略研究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丛晓芳</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高职会计专业课程体系整体优化与教学内容改革研究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刘玉梅</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基于“蓝墨云班”的高职web产品课程教学模 式研究与应用</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高佳乐</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工匠精神融入高职思政教育的方法研究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李 玥</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OBE理论视角下连锁经营管理专业核心课教学改革研究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曹 爽</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云班课在高职院校《餐饮服务与管理》课程教学改革中的应用研究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张 莹</w:t>
            </w:r>
            <w:bookmarkStart w:id="0" w:name="_GoBack"/>
            <w:bookmarkEnd w:id="0"/>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胜任力理论下高职食品营养与检测专业课程体系优化研究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崔 红</w:t>
            </w:r>
          </w:p>
        </w:tc>
        <w:tc>
          <w:tcPr>
            <w:tcW w:w="1515" w:type="dxa"/>
            <w:vMerge w:val="restart"/>
            <w:vAlign w:val="center"/>
          </w:tcPr>
          <w:p>
            <w:pPr>
              <w:jc w:val="center"/>
              <w:rPr>
                <w:rFonts w:hint="eastAsia"/>
              </w:rPr>
            </w:pPr>
            <w:r>
              <w:rPr>
                <w:rFonts w:hint="eastAsia"/>
                <w:lang w:val="en-US" w:eastAsia="zh-CN"/>
              </w:rPr>
              <w:t>二</w:t>
            </w:r>
            <w:r>
              <w:rPr>
                <w:rFonts w:hint="eastAsia"/>
              </w:rPr>
              <w:t>实训306</w:t>
            </w:r>
          </w:p>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高职创新创业教育评价体系实证研究——基于“现实环境”和“实际贡献”的双视角分析</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刘 杨</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移动互联网背景下碎片化学习模式在电子商务教学改革中的实践研究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山少男</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“互联网+”背景下酒店专业群中高职衔接课程体系建设研究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佟安娜</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互联网+背景下思想政治理论课慕课教学改革困境与出路</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孟德娜</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基于就业创业素质提升的高职院校人才培养供给侧改革研究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翟金芝</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213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2160"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val="en-US" w:eastAsia="zh-CN" w:bidi="ar"/>
              </w:rPr>
            </w:pPr>
          </w:p>
        </w:tc>
        <w:tc>
          <w:tcPr>
            <w:tcW w:w="6180"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大数据背景下高职食品营养与检测专业课程体系整体优化研究</w:t>
            </w:r>
          </w:p>
        </w:tc>
        <w:tc>
          <w:tcPr>
            <w:tcW w:w="1125" w:type="dxa"/>
            <w:vAlign w:val="center"/>
          </w:tcPr>
          <w:p>
            <w:pPr>
              <w:keepNext w:val="0"/>
              <w:keepLines w:val="0"/>
              <w:widowControl/>
              <w:suppressLineNumbers w:val="0"/>
              <w:jc w:val="center"/>
              <w:textAlignment w:val="center"/>
              <w:rPr>
                <w:rFonts w:hint="eastAsia"/>
                <w:b w:val="0"/>
                <w:bCs w:val="0"/>
                <w:sz w:val="21"/>
                <w:szCs w:val="21"/>
                <w:lang w:val="en-US" w:eastAsia="zh-CN"/>
              </w:rPr>
            </w:pPr>
            <w:r>
              <w:rPr>
                <w:rFonts w:hint="eastAsia"/>
                <w:b w:val="0"/>
                <w:bCs w:val="0"/>
                <w:sz w:val="21"/>
                <w:szCs w:val="21"/>
                <w:lang w:val="en-US" w:eastAsia="zh-CN"/>
              </w:rPr>
              <w:t>丁 玲</w:t>
            </w:r>
          </w:p>
        </w:tc>
        <w:tc>
          <w:tcPr>
            <w:tcW w:w="1515" w:type="dxa"/>
            <w:vMerge w:val="continue"/>
            <w:tcBorders/>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c>
          <w:tcPr>
            <w:tcW w:w="1755" w:type="dxa"/>
            <w:vMerge w:val="continue"/>
            <w:vAlign w:val="center"/>
          </w:tcPr>
          <w:p>
            <w:pPr>
              <w:keepNext w:val="0"/>
              <w:keepLines w:val="0"/>
              <w:widowControl/>
              <w:suppressLineNumbers w:val="0"/>
              <w:jc w:val="center"/>
              <w:textAlignment w:val="center"/>
              <w:rPr>
                <w:rFonts w:hint="eastAsia" w:ascii="宋体" w:hAnsi="宋体" w:cs="宋体"/>
                <w:color w:val="000000"/>
                <w:kern w:val="0"/>
                <w:sz w:val="24"/>
                <w:lang w:bidi="ar"/>
              </w:rPr>
            </w:pPr>
          </w:p>
        </w:tc>
      </w:tr>
    </w:tbl>
    <w:p>
      <w:pPr>
        <w:keepNext w:val="0"/>
        <w:keepLines w:val="0"/>
        <w:widowControl/>
        <w:suppressLineNumbers w:val="0"/>
        <w:jc w:val="center"/>
        <w:textAlignment w:val="center"/>
        <w:rPr>
          <w:rFonts w:hint="eastAsia" w:ascii="宋体" w:hAnsi="宋体" w:cs="宋体"/>
          <w:color w:val="000000"/>
          <w:kern w:val="0"/>
          <w:sz w:val="24"/>
          <w:lang w:bidi="ar"/>
        </w:rPr>
      </w:pPr>
    </w:p>
    <w:p>
      <w:pPr>
        <w:rPr>
          <w:rFonts w:hint="eastAsia" w:ascii="宋体" w:hAnsi="宋体" w:cs="宋体"/>
          <w:kern w:val="0"/>
          <w:sz w:val="28"/>
          <w:szCs w:val="28"/>
        </w:rPr>
      </w:pPr>
    </w:p>
    <w:p>
      <w:r>
        <w:rPr>
          <w:rFonts w:hint="eastAsia" w:ascii="宋体" w:hAnsi="宋体" w:cs="宋体"/>
          <w:kern w:val="0"/>
          <w:sz w:val="28"/>
          <w:szCs w:val="28"/>
          <w:lang w:val="en-US" w:eastAsia="zh-CN"/>
        </w:rPr>
        <w:t xml:space="preserve">                  </w:t>
      </w:r>
    </w:p>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3501D"/>
    <w:rsid w:val="0C81100E"/>
    <w:rsid w:val="78BE095B"/>
    <w:rsid w:val="7B57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LT</dc:creator>
  <cp:lastModifiedBy>LT</cp:lastModifiedBy>
  <dcterms:modified xsi:type="dcterms:W3CDTF">2017-07-19T04:46:56Z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